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BC" w:rsidRPr="00830FBC" w:rsidRDefault="00830FBC" w:rsidP="00830FBC">
      <w:pPr>
        <w:shd w:val="clear" w:color="auto" w:fill="FFFFFF"/>
        <w:spacing w:after="176" w:line="240" w:lineRule="auto"/>
        <w:outlineLvl w:val="0"/>
        <w:rPr>
          <w:rFonts w:ascii="Arial" w:eastAsia="Times New Roman" w:hAnsi="Arial" w:cs="Arial"/>
          <w:color w:val="060606"/>
          <w:kern w:val="36"/>
          <w:sz w:val="45"/>
          <w:szCs w:val="45"/>
          <w:lang w:eastAsia="ru-RU"/>
        </w:rPr>
      </w:pPr>
      <w:r w:rsidRPr="00830FBC">
        <w:rPr>
          <w:rFonts w:ascii="Arial" w:eastAsia="Times New Roman" w:hAnsi="Arial" w:cs="Arial"/>
          <w:color w:val="060606"/>
          <w:kern w:val="36"/>
          <w:sz w:val="45"/>
          <w:szCs w:val="45"/>
          <w:lang w:eastAsia="ru-RU"/>
        </w:rPr>
        <w:t>Апелляция</w:t>
      </w:r>
    </w:p>
    <w:p w:rsidR="00830FBC" w:rsidRPr="00830FBC" w:rsidRDefault="00830FBC" w:rsidP="00830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Arial" w:eastAsia="Times New Roman" w:hAnsi="Arial" w:cs="Arial"/>
          <w:color w:val="1F262D"/>
          <w:sz w:val="21"/>
          <w:szCs w:val="21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830FBC" w:rsidRPr="00830FBC" w:rsidRDefault="00830FBC" w:rsidP="00830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830FBC" w:rsidRPr="00830FBC" w:rsidRDefault="00830FBC" w:rsidP="00830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о несогласии с выставленными баллами. </w:t>
      </w:r>
    </w:p>
    <w:p w:rsidR="00830FBC" w:rsidRPr="00830FBC" w:rsidRDefault="00830FBC" w:rsidP="00830F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КК не рассматривает апелляции по вопросам:</w:t>
      </w:r>
    </w:p>
    <w:p w:rsidR="00830FBC" w:rsidRPr="00830FBC" w:rsidRDefault="00830FBC" w:rsidP="00830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содержания и структуры заданий по учебным предметам,</w:t>
      </w:r>
    </w:p>
    <w:p w:rsidR="00830FBC" w:rsidRPr="00830FBC" w:rsidRDefault="00830FBC" w:rsidP="00830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830FBC" w:rsidRPr="00830FBC" w:rsidRDefault="00830FBC" w:rsidP="00830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нарушения участником ГИА требований, установленных Порядком;</w:t>
      </w:r>
    </w:p>
    <w:p w:rsidR="00830FBC" w:rsidRPr="00830FBC" w:rsidRDefault="00830FBC" w:rsidP="00830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неправильного оформления экзаменационной работы.</w:t>
      </w:r>
    </w:p>
    <w:p w:rsidR="00830FBC" w:rsidRPr="00830FBC" w:rsidRDefault="00830FBC" w:rsidP="00830F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КК не рассматривает черновики участника ГИА в качестве материалов апелляции.</w:t>
      </w:r>
    </w:p>
    <w:p w:rsidR="00830FBC" w:rsidRPr="00830FBC" w:rsidRDefault="00830FBC" w:rsidP="00830F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Информация о сроках, местах и порядке подачи и рассмотрения апелляций публикуется </w:t>
      </w:r>
      <w:r w:rsidRPr="00830FBC">
        <w:rPr>
          <w:rFonts w:ascii="Arial" w:eastAsia="Times New Roman" w:hAnsi="Arial" w:cs="Arial"/>
          <w:b/>
          <w:bCs/>
          <w:color w:val="1F262D"/>
          <w:sz w:val="21"/>
          <w:szCs w:val="21"/>
          <w:lang w:eastAsia="ru-RU"/>
        </w:rPr>
        <w:t xml:space="preserve">не </w:t>
      </w:r>
      <w:proofErr w:type="gramStart"/>
      <w:r w:rsidRPr="00830FBC">
        <w:rPr>
          <w:rFonts w:ascii="Arial" w:eastAsia="Times New Roman" w:hAnsi="Arial" w:cs="Arial"/>
          <w:b/>
          <w:bCs/>
          <w:color w:val="1F262D"/>
          <w:sz w:val="21"/>
          <w:szCs w:val="21"/>
          <w:lang w:eastAsia="ru-RU"/>
        </w:rPr>
        <w:t>позднее</w:t>
      </w:r>
      <w:proofErr w:type="gramEnd"/>
      <w:r w:rsidRPr="00830FBC">
        <w:rPr>
          <w:rFonts w:ascii="Arial" w:eastAsia="Times New Roman" w:hAnsi="Arial" w:cs="Arial"/>
          <w:b/>
          <w:bCs/>
          <w:color w:val="1F262D"/>
          <w:sz w:val="21"/>
          <w:szCs w:val="21"/>
          <w:lang w:eastAsia="ru-RU"/>
        </w:rPr>
        <w:t xml:space="preserve"> чем за месяц до начала экзаменов</w:t>
      </w: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830FBC" w:rsidRPr="00830FBC" w:rsidRDefault="00830FBC" w:rsidP="00830F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830FBC" w:rsidRPr="00830FBC" w:rsidRDefault="00830FBC" w:rsidP="00830FB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hyperlink r:id="rId6" w:history="1">
        <w:r w:rsidRPr="00830FBC">
          <w:rPr>
            <w:rFonts w:ascii="Verdana" w:eastAsia="Times New Roman" w:hAnsi="Verdana" w:cs="Arial"/>
            <w:color w:val="3181E3"/>
            <w:sz w:val="18"/>
            <w:szCs w:val="18"/>
            <w:lang w:eastAsia="ru-RU"/>
          </w:rPr>
          <w:t>Приказ Департамента Смоленской области по образованию и науке от 27.04.2023 № 388-ОД «Об утверждении графика приема и рассмотрения апелляций о несогласии с выставленными баллами при проведении государственной итоговой аттестации по образовательным программам среднего общего образования в 2023 году в Смоленской области»</w:t>
        </w:r>
      </w:hyperlink>
    </w:p>
    <w:p w:rsidR="00830FBC" w:rsidRPr="00830FBC" w:rsidRDefault="00830FBC" w:rsidP="00830FB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hyperlink r:id="rId7" w:history="1">
        <w:r w:rsidRPr="00830FBC">
          <w:rPr>
            <w:rFonts w:ascii="Verdana" w:eastAsia="Times New Roman" w:hAnsi="Verdana" w:cs="Arial"/>
            <w:color w:val="3181E3"/>
            <w:sz w:val="21"/>
            <w:szCs w:val="21"/>
            <w:lang w:eastAsia="ru-RU"/>
          </w:rPr>
          <w:t>Апелляция о нарушении установленного порядка проведения ГИА</w:t>
        </w:r>
      </w:hyperlink>
    </w:p>
    <w:p w:rsidR="00830FBC" w:rsidRPr="00830FBC" w:rsidRDefault="00830FBC" w:rsidP="00830FB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hyperlink r:id="rId8" w:history="1">
        <w:r w:rsidRPr="00830FBC">
          <w:rPr>
            <w:rFonts w:ascii="Verdana" w:eastAsia="Times New Roman" w:hAnsi="Verdana" w:cs="Arial"/>
            <w:color w:val="3181E3"/>
            <w:sz w:val="18"/>
            <w:szCs w:val="18"/>
            <w:lang w:eastAsia="ru-RU"/>
          </w:rPr>
          <w:t>Апел</w:t>
        </w:r>
        <w:r w:rsidRPr="00830FBC">
          <w:rPr>
            <w:rFonts w:ascii="Verdana" w:eastAsia="Times New Roman" w:hAnsi="Verdana" w:cs="Arial"/>
            <w:color w:val="3181E3"/>
            <w:sz w:val="21"/>
            <w:szCs w:val="21"/>
            <w:lang w:eastAsia="ru-RU"/>
          </w:rPr>
          <w:t>ляция о несогласии с результатами ЕГЭ</w:t>
        </w:r>
      </w:hyperlink>
    </w:p>
    <w:p w:rsidR="00830FBC" w:rsidRPr="00830FBC" w:rsidRDefault="00830FBC" w:rsidP="00830FB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hyperlink r:id="rId9" w:history="1">
        <w:r w:rsidRPr="00830FBC">
          <w:rPr>
            <w:rFonts w:ascii="Verdana" w:eastAsia="Times New Roman" w:hAnsi="Verdana" w:cs="Arial"/>
            <w:color w:val="3181E3"/>
            <w:sz w:val="21"/>
            <w:szCs w:val="21"/>
            <w:lang w:eastAsia="ru-RU"/>
          </w:rPr>
          <w:t>Бланк апелляции о несогласии с выставленными баллами</w:t>
        </w:r>
      </w:hyperlink>
    </w:p>
    <w:p w:rsidR="00830FBC" w:rsidRPr="00830FBC" w:rsidRDefault="00830FBC" w:rsidP="00830FB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hyperlink r:id="rId10" w:history="1">
        <w:r w:rsidRPr="00830FBC">
          <w:rPr>
            <w:rFonts w:ascii="Verdana" w:eastAsia="Times New Roman" w:hAnsi="Verdana" w:cs="Arial"/>
            <w:color w:val="3181E3"/>
            <w:sz w:val="18"/>
            <w:szCs w:val="18"/>
            <w:lang w:eastAsia="ru-RU"/>
          </w:rPr>
          <w:t>Приказ Департамента Смоленской области по образованию и науке от 10.03.2023 № 218-ОД «О создании конфликтной комиссии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2023 году»</w:t>
        </w:r>
      </w:hyperlink>
    </w:p>
    <w:p w:rsidR="00830FBC" w:rsidRPr="00830FBC" w:rsidRDefault="00830FBC" w:rsidP="00830FB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hyperlink r:id="rId11" w:history="1">
        <w:r w:rsidRPr="00830FBC">
          <w:rPr>
            <w:rFonts w:ascii="Verdana" w:eastAsia="Times New Roman" w:hAnsi="Verdana" w:cs="Arial"/>
            <w:color w:val="3181E3"/>
            <w:sz w:val="18"/>
            <w:szCs w:val="18"/>
            <w:lang w:eastAsia="ru-RU"/>
          </w:rPr>
          <w:t>Приказ Департамента Смоленской области по образованию и науке от 28.02.2023 № 173-ОД «Об утверждении Положения о конфликтной комиссии при проведении государственной итоговой аттестации по образовательным программам основного общего и среднего общего образования в 2023 году в Смоленской области»</w:t>
        </w:r>
      </w:hyperlink>
    </w:p>
    <w:p w:rsidR="00830FBC" w:rsidRPr="00830FBC" w:rsidRDefault="00830FBC" w:rsidP="00830FBC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</w:p>
    <w:p w:rsidR="00830FBC" w:rsidRPr="00830FBC" w:rsidRDefault="00830FBC" w:rsidP="00830FBC">
      <w:pPr>
        <w:shd w:val="clear" w:color="auto" w:fill="F2F2F2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br/>
      </w:r>
    </w:p>
    <w:p w:rsidR="00830FBC" w:rsidRPr="00830FBC" w:rsidRDefault="00830FBC" w:rsidP="00830FBC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</w:p>
    <w:p w:rsidR="00830FBC" w:rsidRPr="00830FBC" w:rsidRDefault="00830FBC" w:rsidP="00830FBC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</w:p>
    <w:p w:rsidR="00830FBC" w:rsidRPr="00830FBC" w:rsidRDefault="00830FBC" w:rsidP="00830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Verdana" w:eastAsia="Times New Roman" w:hAnsi="Verdana" w:cs="Arial"/>
          <w:b/>
          <w:bCs/>
          <w:color w:val="1F262D"/>
          <w:sz w:val="18"/>
          <w:szCs w:val="18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30FBC" w:rsidRPr="00830FBC" w:rsidRDefault="00830FBC" w:rsidP="00830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Verdana" w:eastAsia="Times New Roman" w:hAnsi="Verdana" w:cs="Arial"/>
          <w:color w:val="1F262D"/>
          <w:sz w:val="18"/>
          <w:szCs w:val="18"/>
          <w:lang w:eastAsia="ru-RU"/>
        </w:rPr>
        <w:t> </w:t>
      </w:r>
    </w:p>
    <w:p w:rsidR="00830FBC" w:rsidRPr="00830FBC" w:rsidRDefault="00830FBC" w:rsidP="00830F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Verdana" w:eastAsia="Times New Roman" w:hAnsi="Verdana" w:cs="Arial"/>
          <w:b/>
          <w:bCs/>
          <w:color w:val="1F262D"/>
          <w:sz w:val="21"/>
          <w:szCs w:val="21"/>
          <w:lang w:eastAsia="ru-RU"/>
        </w:rPr>
        <w:t>Прием апелляций конфликтной комиссией</w:t>
      </w:r>
    </w:p>
    <w:p w:rsidR="00830FBC" w:rsidRPr="00830FBC" w:rsidRDefault="00830FBC" w:rsidP="00830FB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 xml:space="preserve">Адрес: г. Смоленск, ул. Октябрьской революции, д.20А, ГАУ ДПО СОИРО, </w:t>
      </w:r>
      <w:proofErr w:type="spellStart"/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каб</w:t>
      </w:r>
      <w:proofErr w:type="spellEnd"/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. 208.</w:t>
      </w:r>
    </w:p>
    <w:p w:rsidR="00830FBC" w:rsidRPr="00830FBC" w:rsidRDefault="00830FBC" w:rsidP="00830FB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b/>
          <w:bCs/>
          <w:color w:val="1F262D"/>
          <w:sz w:val="21"/>
          <w:szCs w:val="21"/>
          <w:lang w:eastAsia="ru-RU"/>
        </w:rPr>
        <w:t>Время работы</w:t>
      </w: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: понедельник - пятница с 9.00 до 13.00 и с 14.00 до 18.00.</w:t>
      </w:r>
    </w:p>
    <w:p w:rsidR="00830FBC" w:rsidRPr="00830FBC" w:rsidRDefault="00830FBC" w:rsidP="00830FBC">
      <w:pPr>
        <w:shd w:val="clear" w:color="auto" w:fill="FFFFFF"/>
        <w:spacing w:line="240" w:lineRule="auto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830FBC">
        <w:rPr>
          <w:rFonts w:ascii="Arial" w:eastAsia="Times New Roman" w:hAnsi="Arial" w:cs="Arial"/>
          <w:b/>
          <w:bCs/>
          <w:color w:val="1F262D"/>
          <w:sz w:val="21"/>
          <w:szCs w:val="21"/>
          <w:lang w:eastAsia="ru-RU"/>
        </w:rPr>
        <w:t>Телефон: </w:t>
      </w:r>
      <w:r w:rsidRPr="00830FBC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8 (4812) 38-94-51.</w:t>
      </w:r>
    </w:p>
    <w:p w:rsidR="007723A1" w:rsidRDefault="0093796D">
      <w:bookmarkStart w:id="0" w:name="_GoBack"/>
      <w:bookmarkEnd w:id="0"/>
    </w:p>
    <w:sectPr w:rsidR="0077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4EB"/>
    <w:multiLevelType w:val="multilevel"/>
    <w:tmpl w:val="9336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D7F0C"/>
    <w:multiLevelType w:val="multilevel"/>
    <w:tmpl w:val="70B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3064F"/>
    <w:multiLevelType w:val="multilevel"/>
    <w:tmpl w:val="7966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2F"/>
    <w:rsid w:val="0033704A"/>
    <w:rsid w:val="00830FBC"/>
    <w:rsid w:val="0093796D"/>
    <w:rsid w:val="00C97338"/>
    <w:rsid w:val="00E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3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.gov67.ru/files/309/apellyaciya-o-nesoglasii-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a.gov67.ru/files/309/apellyaciy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.gov67.ru/files/309/2023-388od_grafik-apellya.pdf" TargetMode="External"/><Relationship Id="rId11" Type="http://schemas.openxmlformats.org/officeDocument/2006/relationships/hyperlink" Target="https://gia.gov67.ru/files/309/2023-173od_polozhenie-kk-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a.gov67.ru/files/309/2023-218od_sozdanie-kk-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a.gov67.ru/files/309/1-a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2023-05-12T08:29:00Z</dcterms:created>
  <dcterms:modified xsi:type="dcterms:W3CDTF">2023-05-12T12:07:00Z</dcterms:modified>
</cp:coreProperties>
</file>